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7A" w:rsidRDefault="00D02888" w:rsidP="001D6581">
      <w:pPr>
        <w:rPr>
          <w:color w:val="01416D"/>
          <w:sz w:val="60"/>
          <w:szCs w:val="60"/>
        </w:rPr>
      </w:pPr>
      <w:r>
        <w:rPr>
          <w:color w:val="01416D"/>
          <w:sz w:val="60"/>
          <w:szCs w:val="60"/>
        </w:rPr>
        <w:t>Job description</w:t>
      </w:r>
    </w:p>
    <w:p w:rsidR="00D02888" w:rsidRDefault="00D02888" w:rsidP="001D6581"/>
    <w:tbl>
      <w:tblPr>
        <w:tblStyle w:val="TableGrid"/>
        <w:tblpPr w:leftFromText="180" w:rightFromText="180" w:vertAnchor="text" w:horzAnchor="margin" w:tblpX="-121"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D02888" w:rsidRPr="002A58C2" w:rsidTr="00D02888">
        <w:trPr>
          <w:trHeight w:val="467"/>
        </w:trPr>
        <w:tc>
          <w:tcPr>
            <w:tcW w:w="2689" w:type="dxa"/>
          </w:tcPr>
          <w:p w:rsidR="00D02888" w:rsidRPr="00D02888" w:rsidRDefault="00D02888" w:rsidP="00D02888">
            <w:pPr>
              <w:pStyle w:val="Subheading"/>
            </w:pPr>
            <w:r>
              <w:t>Job title</w:t>
            </w:r>
          </w:p>
        </w:tc>
        <w:tc>
          <w:tcPr>
            <w:tcW w:w="6327" w:type="dxa"/>
          </w:tcPr>
          <w:p w:rsidR="00D02888" w:rsidRPr="00D02888" w:rsidRDefault="00D91132" w:rsidP="00D02888">
            <w:r w:rsidRPr="00D91132">
              <w:t>IBA Underwriting Accounts Technician</w:t>
            </w:r>
          </w:p>
        </w:tc>
      </w:tr>
      <w:tr w:rsidR="00D02888" w:rsidRPr="002A58C2" w:rsidTr="00D02888">
        <w:trPr>
          <w:trHeight w:val="467"/>
        </w:trPr>
        <w:tc>
          <w:tcPr>
            <w:tcW w:w="2689" w:type="dxa"/>
          </w:tcPr>
          <w:p w:rsidR="00D02888" w:rsidRPr="00D02888" w:rsidRDefault="00D02888" w:rsidP="00D02888">
            <w:pPr>
              <w:pStyle w:val="Subheading"/>
            </w:pPr>
            <w:r w:rsidRPr="00D02888">
              <w:t>Employment type</w:t>
            </w:r>
            <w:r w:rsidRPr="00D02888">
              <w:tab/>
            </w:r>
          </w:p>
        </w:tc>
        <w:tc>
          <w:tcPr>
            <w:tcW w:w="6327" w:type="dxa"/>
          </w:tcPr>
          <w:p w:rsidR="00D02888" w:rsidRPr="00D02888" w:rsidRDefault="00D02888" w:rsidP="00D02888">
            <w:pPr>
              <w:spacing w:line="276" w:lineRule="auto"/>
            </w:pPr>
            <w:r w:rsidRPr="00D02888">
              <w:t>Full-Time | Permanent</w:t>
            </w:r>
          </w:p>
        </w:tc>
      </w:tr>
      <w:tr w:rsidR="00D02888" w:rsidRPr="002A58C2" w:rsidTr="00D02888">
        <w:trPr>
          <w:trHeight w:val="429"/>
        </w:trPr>
        <w:tc>
          <w:tcPr>
            <w:tcW w:w="2689" w:type="dxa"/>
          </w:tcPr>
          <w:p w:rsidR="00D02888" w:rsidRPr="00D02888" w:rsidRDefault="00D02888" w:rsidP="00D02888">
            <w:pPr>
              <w:pStyle w:val="Subheading"/>
            </w:pPr>
            <w:r w:rsidRPr="00D02888">
              <w:t xml:space="preserve">Reporting </w:t>
            </w:r>
            <w:r>
              <w:t>t</w:t>
            </w:r>
            <w:r w:rsidRPr="00D02888">
              <w:t>o</w:t>
            </w:r>
          </w:p>
        </w:tc>
        <w:tc>
          <w:tcPr>
            <w:tcW w:w="6327" w:type="dxa"/>
          </w:tcPr>
          <w:p w:rsidR="00D02888" w:rsidRPr="00D02888" w:rsidRDefault="00D91132" w:rsidP="00D02888">
            <w:pPr>
              <w:spacing w:line="276" w:lineRule="auto"/>
            </w:pPr>
            <w:r w:rsidRPr="00D91132">
              <w:t>IBA Manager</w:t>
            </w:r>
          </w:p>
        </w:tc>
      </w:tr>
      <w:tr w:rsidR="00D02888" w:rsidRPr="002A58C2" w:rsidTr="00D02888">
        <w:trPr>
          <w:trHeight w:val="423"/>
        </w:trPr>
        <w:tc>
          <w:tcPr>
            <w:tcW w:w="2689" w:type="dxa"/>
          </w:tcPr>
          <w:p w:rsidR="00D02888" w:rsidRPr="00D02888" w:rsidRDefault="00D02888" w:rsidP="00D02888">
            <w:pPr>
              <w:pStyle w:val="Subheading"/>
            </w:pPr>
            <w:r w:rsidRPr="00D02888">
              <w:t xml:space="preserve">Working </w:t>
            </w:r>
            <w:r>
              <w:t>h</w:t>
            </w:r>
            <w:r w:rsidRPr="00D02888">
              <w:t>ours</w:t>
            </w:r>
          </w:p>
        </w:tc>
        <w:tc>
          <w:tcPr>
            <w:tcW w:w="6327" w:type="dxa"/>
          </w:tcPr>
          <w:p w:rsidR="00D02888" w:rsidRPr="00D02888" w:rsidRDefault="00D02888" w:rsidP="00D02888">
            <w:pPr>
              <w:spacing w:line="276" w:lineRule="auto"/>
            </w:pPr>
            <w:r w:rsidRPr="00D02888">
              <w:t xml:space="preserve">9.30am – 5.30pm - Monday to Friday </w:t>
            </w:r>
          </w:p>
          <w:p w:rsidR="00D02888" w:rsidRPr="00D02888" w:rsidRDefault="00D02888" w:rsidP="00D02888">
            <w:pPr>
              <w:spacing w:line="276" w:lineRule="auto"/>
            </w:pPr>
            <w:r w:rsidRPr="00D02888">
              <w:t>(Role requires out of hours work)</w:t>
            </w:r>
          </w:p>
          <w:p w:rsidR="00D02888" w:rsidRPr="00D02888" w:rsidRDefault="00D02888" w:rsidP="00D02888">
            <w:pPr>
              <w:spacing w:line="276" w:lineRule="auto"/>
            </w:pPr>
          </w:p>
        </w:tc>
      </w:tr>
      <w:tr w:rsidR="00D02888" w:rsidRPr="002A58C2" w:rsidTr="00D02888">
        <w:trPr>
          <w:trHeight w:val="475"/>
        </w:trPr>
        <w:tc>
          <w:tcPr>
            <w:tcW w:w="2689" w:type="dxa"/>
          </w:tcPr>
          <w:p w:rsidR="00D02888" w:rsidRPr="00D02888" w:rsidRDefault="00D02888" w:rsidP="00D02888">
            <w:pPr>
              <w:pStyle w:val="Subheading"/>
            </w:pPr>
            <w:r w:rsidRPr="00D02888">
              <w:t>Location</w:t>
            </w:r>
          </w:p>
        </w:tc>
        <w:tc>
          <w:tcPr>
            <w:tcW w:w="6327" w:type="dxa"/>
          </w:tcPr>
          <w:p w:rsidR="00D02888" w:rsidRPr="00D02888" w:rsidRDefault="00D02888" w:rsidP="00D02888">
            <w:pPr>
              <w:spacing w:line="276" w:lineRule="auto"/>
            </w:pPr>
            <w:r w:rsidRPr="00D02888">
              <w:t>85 Gracechurch Street, London EC3V 0AA</w:t>
            </w:r>
          </w:p>
        </w:tc>
      </w:tr>
      <w:tr w:rsidR="00D02888" w:rsidRPr="002A58C2" w:rsidTr="00D02888">
        <w:tc>
          <w:tcPr>
            <w:tcW w:w="2689" w:type="dxa"/>
          </w:tcPr>
          <w:p w:rsidR="00D02888" w:rsidRPr="00D02888" w:rsidRDefault="00D02888" w:rsidP="00D02888">
            <w:pPr>
              <w:pStyle w:val="Subheading"/>
            </w:pPr>
            <w:r w:rsidRPr="00D02888">
              <w:t>Salary</w:t>
            </w:r>
          </w:p>
        </w:tc>
        <w:tc>
          <w:tcPr>
            <w:tcW w:w="6327" w:type="dxa"/>
          </w:tcPr>
          <w:p w:rsidR="00D02888" w:rsidRPr="00D02888" w:rsidRDefault="00D02888" w:rsidP="00D02888">
            <w:pPr>
              <w:spacing w:line="276" w:lineRule="auto"/>
            </w:pPr>
            <w:r w:rsidRPr="00D02888">
              <w:t>£ Competitive</w:t>
            </w:r>
          </w:p>
          <w:p w:rsidR="00D02888" w:rsidRPr="00D02888" w:rsidRDefault="00D02888" w:rsidP="00D02888">
            <w:pPr>
              <w:spacing w:line="276" w:lineRule="auto"/>
            </w:pPr>
          </w:p>
        </w:tc>
      </w:tr>
      <w:tr w:rsidR="00D02888" w:rsidRPr="002A58C2" w:rsidTr="00D02888">
        <w:tc>
          <w:tcPr>
            <w:tcW w:w="2689" w:type="dxa"/>
          </w:tcPr>
          <w:p w:rsidR="00D02888" w:rsidRPr="00D02888" w:rsidRDefault="00D02888" w:rsidP="00D02888">
            <w:pPr>
              <w:pStyle w:val="Subheading"/>
            </w:pPr>
            <w:r w:rsidRPr="00D02888">
              <w:t>Bonus</w:t>
            </w:r>
          </w:p>
        </w:tc>
        <w:tc>
          <w:tcPr>
            <w:tcW w:w="6327" w:type="dxa"/>
          </w:tcPr>
          <w:p w:rsidR="00D02888" w:rsidRPr="00D02888" w:rsidRDefault="00D02888" w:rsidP="00D02888">
            <w:pPr>
              <w:spacing w:line="276" w:lineRule="auto"/>
            </w:pPr>
            <w:r w:rsidRPr="00D02888">
              <w:t>Discretionary Bonus Plan</w:t>
            </w:r>
            <w:r w:rsidRPr="00D02888">
              <w:tab/>
            </w:r>
          </w:p>
        </w:tc>
      </w:tr>
    </w:tbl>
    <w:p w:rsidR="00D02888" w:rsidRDefault="00D02888" w:rsidP="001D6581"/>
    <w:p w:rsidR="00341B33" w:rsidRDefault="00341B33" w:rsidP="00D02888"/>
    <w:p w:rsidR="00874D4A" w:rsidRDefault="00D02888" w:rsidP="00D02888">
      <w:r w:rsidRPr="00D02888">
        <w:t>CFC Benefits include 25 days holiday, Private medical insurance (plus dental and Optical cashback benefit), Life insurance scheme, Income protection scheme, Pension plan, Season ticket loan, Subsidised gym membership, 24/7 employee assistance programme and dress down Fridays. CFC social events include summer party weekend, Halloween and Christmas parties.</w:t>
      </w:r>
    </w:p>
    <w:p w:rsidR="00D02888" w:rsidRDefault="00D02888" w:rsidP="00D02888"/>
    <w:p w:rsidR="00EF2663" w:rsidRPr="00C274B5" w:rsidRDefault="00EF2663" w:rsidP="001D6581"/>
    <w:p w:rsidR="00D02888" w:rsidRPr="00341B33" w:rsidRDefault="00D02888" w:rsidP="00270099">
      <w:pPr>
        <w:pStyle w:val="Smallerheading"/>
        <w:rPr>
          <w:shd w:val="clear" w:color="auto" w:fill="FFFFFF"/>
        </w:rPr>
      </w:pPr>
      <w:r w:rsidRPr="00341B33">
        <w:rPr>
          <w:shd w:val="clear" w:color="auto" w:fill="FFFFFF"/>
        </w:rPr>
        <w:t>About CFC</w:t>
      </w:r>
    </w:p>
    <w:p w:rsidR="00D02888" w:rsidRDefault="00D02888" w:rsidP="00D02888">
      <w:pPr>
        <w:rPr>
          <w:shd w:val="clear" w:color="auto" w:fill="FFFFFF"/>
        </w:rPr>
      </w:pPr>
    </w:p>
    <w:p w:rsidR="00D02888" w:rsidRPr="002A58C2" w:rsidRDefault="00D02888" w:rsidP="00D02888">
      <w:pPr>
        <w:rPr>
          <w:shd w:val="clear" w:color="auto" w:fill="FFFFFF"/>
        </w:rPr>
      </w:pPr>
      <w:r w:rsidRPr="002A58C2">
        <w:rPr>
          <w:shd w:val="clear" w:color="auto" w:fill="FFFFFF"/>
        </w:rPr>
        <w:t>CFC is a specialist insurance provider and a pioneer in emerging risk. With a track record of disrupting inefficient insurance markets, CFC uses proprietary technology to deliver high-quality products to market faster than the competition while making it easier for brokers to do business. Our broad range of commercial insurance products are purpose-built for today’s risks, and we aim to give our customers everything they need in one, easy-to-understand policy.</w:t>
      </w:r>
    </w:p>
    <w:p w:rsidR="00D02888" w:rsidRPr="002A58C2" w:rsidRDefault="00D02888" w:rsidP="00D02888">
      <w:pPr>
        <w:rPr>
          <w:shd w:val="clear" w:color="auto" w:fill="FFFFFF"/>
        </w:rPr>
      </w:pPr>
    </w:p>
    <w:p w:rsidR="00D02888" w:rsidRPr="002A58C2" w:rsidRDefault="00D02888" w:rsidP="00D02888">
      <w:pPr>
        <w:rPr>
          <w:shd w:val="clear" w:color="auto" w:fill="FFFFFF"/>
        </w:rPr>
      </w:pPr>
      <w:r w:rsidRPr="002A58C2">
        <w:rPr>
          <w:shd w:val="clear" w:color="auto" w:fill="FFFFFF"/>
        </w:rPr>
        <w:t>Headquartered in London and backed by Lloyd’s, CFC serves more than 70,000 businesses in over 80 countries. We’re privately held and growing faster than any of our competitors in the market.</w:t>
      </w:r>
    </w:p>
    <w:p w:rsidR="00D02888" w:rsidRPr="002A58C2" w:rsidRDefault="00D02888" w:rsidP="00D02888">
      <w:pPr>
        <w:rPr>
          <w:shd w:val="clear" w:color="auto" w:fill="FFFFFF"/>
        </w:rPr>
      </w:pPr>
    </w:p>
    <w:p w:rsidR="00D02888" w:rsidRPr="002A58C2" w:rsidRDefault="00D02888" w:rsidP="00D02888">
      <w:pPr>
        <w:rPr>
          <w:shd w:val="clear" w:color="auto" w:fill="FFFFFF"/>
        </w:rPr>
      </w:pPr>
      <w:r w:rsidRPr="002A58C2">
        <w:rPr>
          <w:shd w:val="clear" w:color="auto" w:fill="FFFFFF"/>
        </w:rPr>
        <w:t xml:space="preserve">Although insurance is a serious business, our culture isn’t too corporate and we never take ourselves too seriously. We are ‘one-team’ and enjoy a culture of openness and encouragement. We invest heavily in the learning and development of our people and enjoy a fast paced working atmosphere that is friendly, supportive, and fun. </w:t>
      </w:r>
    </w:p>
    <w:p w:rsidR="00F611F4" w:rsidRDefault="00F611F4" w:rsidP="001D6581">
      <w:pPr>
        <w:pStyle w:val="Boldtext"/>
        <w:spacing w:line="240" w:lineRule="auto"/>
      </w:pPr>
    </w:p>
    <w:p w:rsidR="00D02888" w:rsidRPr="00341B33" w:rsidRDefault="00D02888" w:rsidP="00270099">
      <w:pPr>
        <w:pStyle w:val="Smallerheading"/>
      </w:pPr>
      <w:r w:rsidRPr="00341B33">
        <w:t>Role definition</w:t>
      </w:r>
    </w:p>
    <w:p w:rsidR="00D02888" w:rsidRPr="002A58C2" w:rsidRDefault="00D02888" w:rsidP="00D02888">
      <w:pPr>
        <w:jc w:val="both"/>
        <w:rPr>
          <w:rFonts w:ascii="Montserrat" w:hAnsi="Montserrat"/>
          <w:shd w:val="clear" w:color="auto" w:fill="FFFFFF"/>
        </w:rPr>
      </w:pPr>
    </w:p>
    <w:p w:rsidR="00D91132" w:rsidRPr="00D91132" w:rsidRDefault="00D91132" w:rsidP="00D91132">
      <w:pPr>
        <w:rPr>
          <w:shd w:val="clear" w:color="auto" w:fill="FFFFFF"/>
        </w:rPr>
      </w:pPr>
      <w:r w:rsidRPr="00D91132">
        <w:rPr>
          <w:shd w:val="clear" w:color="auto" w:fill="FFFFFF"/>
        </w:rPr>
        <w:t xml:space="preserve">This role will support the IBA Manager in achieving company objectives for market settlements and associated administrative processes. </w:t>
      </w:r>
    </w:p>
    <w:p w:rsidR="00D91132" w:rsidRPr="00D91132" w:rsidRDefault="00D91132" w:rsidP="00D91132">
      <w:pPr>
        <w:rPr>
          <w:shd w:val="clear" w:color="auto" w:fill="FFFFFF"/>
        </w:rPr>
      </w:pPr>
    </w:p>
    <w:p w:rsidR="00D02888" w:rsidRDefault="00D91132" w:rsidP="00D91132">
      <w:pPr>
        <w:rPr>
          <w:shd w:val="clear" w:color="auto" w:fill="FFFFFF"/>
        </w:rPr>
      </w:pPr>
      <w:r w:rsidRPr="00D91132">
        <w:rPr>
          <w:shd w:val="clear" w:color="auto" w:fill="FFFFFF"/>
        </w:rPr>
        <w:t>The IBA team handle in excess of 150,000 underwriting transactions, which represents an average 39% increase per annum since 2010.</w:t>
      </w:r>
    </w:p>
    <w:p w:rsidR="00341B33" w:rsidRPr="002A58C2" w:rsidRDefault="00341B33" w:rsidP="00341B33">
      <w:pPr>
        <w:rPr>
          <w:shd w:val="clear" w:color="auto" w:fill="FFFFFF"/>
        </w:rPr>
      </w:pPr>
    </w:p>
    <w:p w:rsidR="001D6581" w:rsidRDefault="001D6581" w:rsidP="00D02888">
      <w:pPr>
        <w:pStyle w:val="Subheading"/>
      </w:pPr>
    </w:p>
    <w:p w:rsidR="00341B33" w:rsidRPr="00341B33" w:rsidRDefault="006846D7" w:rsidP="00270099">
      <w:pPr>
        <w:pStyle w:val="Smallerheading"/>
      </w:pPr>
      <w:r>
        <w:t>Key responsibilities &amp; A</w:t>
      </w:r>
      <w:r w:rsidR="00341B33" w:rsidRPr="00341B33">
        <w:t>ccountabilities</w:t>
      </w:r>
    </w:p>
    <w:p w:rsidR="00341B33" w:rsidRPr="002A58C2" w:rsidRDefault="00341B33" w:rsidP="00341B33">
      <w:pPr>
        <w:spacing w:line="240" w:lineRule="auto"/>
        <w:jc w:val="both"/>
        <w:rPr>
          <w:rFonts w:ascii="Futura Lt BT" w:hAnsi="Futura Lt BT"/>
          <w:u w:val="single"/>
          <w:shd w:val="clear" w:color="auto" w:fill="FFFFFF"/>
        </w:rPr>
      </w:pPr>
    </w:p>
    <w:p w:rsidR="00124F0D" w:rsidRPr="00124F0D" w:rsidRDefault="00124F0D" w:rsidP="00124F0D">
      <w:pPr>
        <w:pStyle w:val="Bullets-tier1"/>
        <w:rPr>
          <w:shd w:val="clear" w:color="auto" w:fill="FFFFFF"/>
        </w:rPr>
      </w:pPr>
      <w:r w:rsidRPr="00124F0D">
        <w:rPr>
          <w:shd w:val="clear" w:color="auto" w:fill="FFFFFF"/>
        </w:rPr>
        <w:t xml:space="preserve">Paid declaration issuance – Ensuring paid declarations are issued and settled to our Binding Authority Brokers in accordance with the terms of the binder. </w:t>
      </w:r>
    </w:p>
    <w:p w:rsidR="00124F0D" w:rsidRPr="00124F0D" w:rsidRDefault="00124F0D" w:rsidP="00124F0D">
      <w:pPr>
        <w:pStyle w:val="Bullets-tier1"/>
        <w:rPr>
          <w:shd w:val="clear" w:color="auto" w:fill="FFFFFF"/>
        </w:rPr>
      </w:pPr>
      <w:r w:rsidRPr="00124F0D">
        <w:rPr>
          <w:shd w:val="clear" w:color="auto" w:fill="FFFFFF"/>
        </w:rPr>
        <w:t>Obtaining resolution to any queries that arise from submission and payment</w:t>
      </w:r>
    </w:p>
    <w:p w:rsidR="00124F0D" w:rsidRPr="00124F0D" w:rsidRDefault="00124F0D" w:rsidP="00124F0D">
      <w:pPr>
        <w:pStyle w:val="Bullets-tier1"/>
        <w:rPr>
          <w:shd w:val="clear" w:color="auto" w:fill="FFFFFF"/>
        </w:rPr>
      </w:pPr>
      <w:r w:rsidRPr="00124F0D">
        <w:rPr>
          <w:shd w:val="clear" w:color="auto" w:fill="FFFFFF"/>
        </w:rPr>
        <w:t xml:space="preserve">Ledger maintenance – Ensuring cash is applied accurately and resolving queries where appropriate </w:t>
      </w:r>
    </w:p>
    <w:p w:rsidR="00124F0D" w:rsidRPr="00124F0D" w:rsidRDefault="00124F0D" w:rsidP="00124F0D">
      <w:pPr>
        <w:pStyle w:val="Bullets-tier1"/>
        <w:rPr>
          <w:shd w:val="clear" w:color="auto" w:fill="FFFFFF"/>
        </w:rPr>
      </w:pPr>
      <w:r w:rsidRPr="00124F0D">
        <w:rPr>
          <w:shd w:val="clear" w:color="auto" w:fill="FFFFFF"/>
        </w:rPr>
        <w:t xml:space="preserve">Production and submission of LPANs and appropriate documentation to enable settlement of premium via Xchanging. </w:t>
      </w:r>
    </w:p>
    <w:p w:rsidR="00124F0D" w:rsidRPr="00124F0D" w:rsidRDefault="00124F0D" w:rsidP="00124F0D">
      <w:pPr>
        <w:pStyle w:val="Bullets-tier1"/>
        <w:rPr>
          <w:shd w:val="clear" w:color="auto" w:fill="FFFFFF"/>
        </w:rPr>
      </w:pPr>
      <w:r w:rsidRPr="00124F0D">
        <w:rPr>
          <w:shd w:val="clear" w:color="auto" w:fill="FFFFFF"/>
        </w:rPr>
        <w:t>Ensure legacy items and unallocated cash are reduced to a minimum, either by way of correcting processing errors or submitting on paid declaration</w:t>
      </w:r>
    </w:p>
    <w:p w:rsidR="00124F0D" w:rsidRPr="00124F0D" w:rsidRDefault="00124F0D" w:rsidP="00124F0D">
      <w:pPr>
        <w:pStyle w:val="Bullets-tier1"/>
        <w:rPr>
          <w:shd w:val="clear" w:color="auto" w:fill="FFFFFF"/>
        </w:rPr>
      </w:pPr>
      <w:r w:rsidRPr="00124F0D">
        <w:rPr>
          <w:shd w:val="clear" w:color="auto" w:fill="FFFFFF"/>
        </w:rPr>
        <w:t xml:space="preserve">Processing amendments into out accounting system, </w:t>
      </w:r>
      <w:proofErr w:type="spellStart"/>
      <w:r w:rsidRPr="00124F0D">
        <w:rPr>
          <w:shd w:val="clear" w:color="auto" w:fill="FFFFFF"/>
        </w:rPr>
        <w:t>Brokasure</w:t>
      </w:r>
      <w:proofErr w:type="spellEnd"/>
      <w:r w:rsidRPr="00124F0D">
        <w:rPr>
          <w:shd w:val="clear" w:color="auto" w:fill="FFFFFF"/>
        </w:rPr>
        <w:t xml:space="preserve"> Desktop, to reflect CFC’s in house policy processing system</w:t>
      </w:r>
    </w:p>
    <w:p w:rsidR="00124F0D" w:rsidRPr="00124F0D" w:rsidRDefault="00124F0D" w:rsidP="00124F0D">
      <w:pPr>
        <w:pStyle w:val="Bullets-tier1"/>
        <w:rPr>
          <w:shd w:val="clear" w:color="auto" w:fill="FFFFFF"/>
        </w:rPr>
      </w:pPr>
      <w:r w:rsidRPr="00124F0D">
        <w:rPr>
          <w:shd w:val="clear" w:color="auto" w:fill="FFFFFF"/>
        </w:rPr>
        <w:t xml:space="preserve">Provide support to the IBA Manager as required </w:t>
      </w:r>
    </w:p>
    <w:p w:rsidR="00124F0D" w:rsidRDefault="00124F0D" w:rsidP="006846D7">
      <w:pPr>
        <w:pStyle w:val="Smallerheading"/>
      </w:pPr>
    </w:p>
    <w:p w:rsidR="00084AB0" w:rsidRPr="002A58C2" w:rsidRDefault="00084AB0" w:rsidP="006846D7">
      <w:pPr>
        <w:pStyle w:val="Smallerheading"/>
      </w:pPr>
      <w:r w:rsidRPr="002A58C2">
        <w:t>Skills &amp; Ability</w:t>
      </w:r>
    </w:p>
    <w:p w:rsidR="00D91132" w:rsidRPr="00D91132" w:rsidRDefault="00D91132" w:rsidP="00D91132">
      <w:pPr>
        <w:pStyle w:val="Bullets-tier1"/>
        <w:rPr>
          <w:shd w:val="clear" w:color="auto" w:fill="FFFFFF"/>
        </w:rPr>
      </w:pPr>
      <w:r w:rsidRPr="00D91132">
        <w:rPr>
          <w:shd w:val="clear" w:color="auto" w:fill="FFFFFF"/>
        </w:rPr>
        <w:t>High level of attention to detail.</w:t>
      </w:r>
    </w:p>
    <w:p w:rsidR="00D91132" w:rsidRPr="00D91132" w:rsidRDefault="00D91132" w:rsidP="00D91132">
      <w:pPr>
        <w:pStyle w:val="Bullets-tier1"/>
        <w:rPr>
          <w:shd w:val="clear" w:color="auto" w:fill="FFFFFF"/>
        </w:rPr>
      </w:pPr>
      <w:r w:rsidRPr="00D91132">
        <w:rPr>
          <w:shd w:val="clear" w:color="auto" w:fill="FFFFFF"/>
        </w:rPr>
        <w:t>Ability to work effectively in a team.</w:t>
      </w:r>
    </w:p>
    <w:p w:rsidR="00D91132" w:rsidRPr="00D91132" w:rsidRDefault="00D91132" w:rsidP="00D91132">
      <w:pPr>
        <w:pStyle w:val="Bullets-tier1"/>
        <w:rPr>
          <w:shd w:val="clear" w:color="auto" w:fill="FFFFFF"/>
        </w:rPr>
      </w:pPr>
      <w:r w:rsidRPr="00D91132">
        <w:rPr>
          <w:shd w:val="clear" w:color="auto" w:fill="FFFFFF"/>
        </w:rPr>
        <w:t>Ability to prioritise where necessary identifying and maintaining tight deadlines.</w:t>
      </w:r>
    </w:p>
    <w:p w:rsidR="00D91132" w:rsidRPr="00D91132" w:rsidRDefault="00D91132" w:rsidP="00D91132">
      <w:pPr>
        <w:pStyle w:val="Bullets-tier1"/>
        <w:rPr>
          <w:shd w:val="clear" w:color="auto" w:fill="FFFFFF"/>
        </w:rPr>
      </w:pPr>
      <w:r w:rsidRPr="00D91132">
        <w:rPr>
          <w:shd w:val="clear" w:color="auto" w:fill="FFFFFF"/>
        </w:rPr>
        <w:t>Accurate numeracy skills.</w:t>
      </w:r>
    </w:p>
    <w:p w:rsidR="00D91132" w:rsidRPr="00D91132" w:rsidRDefault="00D91132" w:rsidP="00D91132">
      <w:pPr>
        <w:pStyle w:val="Bullets-tier1"/>
        <w:rPr>
          <w:shd w:val="clear" w:color="auto" w:fill="FFFFFF"/>
        </w:rPr>
      </w:pPr>
      <w:r w:rsidRPr="00D91132">
        <w:rPr>
          <w:shd w:val="clear" w:color="auto" w:fill="FFFFFF"/>
        </w:rPr>
        <w:t>Confident, energetic and assertive.</w:t>
      </w:r>
    </w:p>
    <w:p w:rsidR="00D91132" w:rsidRPr="00D91132" w:rsidRDefault="00D91132" w:rsidP="00D91132">
      <w:pPr>
        <w:pStyle w:val="Bullets-tier1"/>
        <w:rPr>
          <w:shd w:val="clear" w:color="auto" w:fill="FFFFFF"/>
        </w:rPr>
      </w:pPr>
      <w:r w:rsidRPr="00D91132">
        <w:rPr>
          <w:shd w:val="clear" w:color="auto" w:fill="FFFFFF"/>
        </w:rPr>
        <w:t>Excellent verbal and written communications skills.</w:t>
      </w:r>
    </w:p>
    <w:p w:rsidR="00084AB0" w:rsidRPr="00D91132" w:rsidRDefault="00D91132" w:rsidP="00D91132">
      <w:pPr>
        <w:pStyle w:val="Bullets-tier1"/>
        <w:rPr>
          <w:shd w:val="clear" w:color="auto" w:fill="FFFFFF"/>
        </w:rPr>
      </w:pPr>
      <w:r w:rsidRPr="00D91132">
        <w:rPr>
          <w:shd w:val="clear" w:color="auto" w:fill="FFFFFF"/>
        </w:rPr>
        <w:t>Adaptable and flexible to function and system changes.</w:t>
      </w:r>
    </w:p>
    <w:p w:rsidR="00084AB0" w:rsidRPr="002A58C2" w:rsidRDefault="00084AB0" w:rsidP="00084AB0">
      <w:pPr>
        <w:pStyle w:val="ListParagraph"/>
        <w:spacing w:before="120"/>
        <w:jc w:val="both"/>
        <w:rPr>
          <w:rFonts w:ascii="Montserrat" w:eastAsia="Calibri" w:hAnsi="Montserrat" w:cs="Times New Roman"/>
          <w:shd w:val="clear" w:color="auto" w:fill="FFFFFF"/>
        </w:rPr>
      </w:pPr>
    </w:p>
    <w:p w:rsidR="00084AB0" w:rsidRPr="002A58C2" w:rsidRDefault="00084AB0" w:rsidP="006846D7">
      <w:pPr>
        <w:pStyle w:val="Smallerheading"/>
      </w:pPr>
      <w:r w:rsidRPr="002A58C2">
        <w:t>Knowledge &amp; Experience</w:t>
      </w:r>
    </w:p>
    <w:p w:rsidR="00D91132" w:rsidRPr="00D91132" w:rsidRDefault="00D91132" w:rsidP="00D91132">
      <w:pPr>
        <w:pStyle w:val="Bullets-tier1"/>
        <w:rPr>
          <w:shd w:val="clear" w:color="auto" w:fill="FFFFFF"/>
        </w:rPr>
      </w:pPr>
      <w:r w:rsidRPr="00D91132">
        <w:rPr>
          <w:shd w:val="clear" w:color="auto" w:fill="FFFFFF"/>
        </w:rPr>
        <w:t>Understanding of IBA accounting within the Insurance industry.</w:t>
      </w:r>
    </w:p>
    <w:p w:rsidR="00D91132" w:rsidRPr="00D91132" w:rsidRDefault="00D91132" w:rsidP="00D91132">
      <w:pPr>
        <w:pStyle w:val="Bullets-tier1"/>
        <w:rPr>
          <w:shd w:val="clear" w:color="auto" w:fill="FFFFFF"/>
        </w:rPr>
      </w:pPr>
      <w:r w:rsidRPr="00D91132">
        <w:rPr>
          <w:shd w:val="clear" w:color="auto" w:fill="FFFFFF"/>
        </w:rPr>
        <w:t>Working knowledge of Lloyds taxation and regulatory requirements.</w:t>
      </w:r>
    </w:p>
    <w:p w:rsidR="00D91132" w:rsidRPr="00D91132" w:rsidRDefault="00D91132" w:rsidP="00D91132">
      <w:pPr>
        <w:pStyle w:val="Bullets-tier1"/>
        <w:rPr>
          <w:shd w:val="clear" w:color="auto" w:fill="FFFFFF"/>
        </w:rPr>
      </w:pPr>
      <w:r w:rsidRPr="00D91132">
        <w:rPr>
          <w:shd w:val="clear" w:color="auto" w:fill="FFFFFF"/>
        </w:rPr>
        <w:t xml:space="preserve">Computer literate with strong skills in Outlook, Word and Excel. </w:t>
      </w:r>
    </w:p>
    <w:p w:rsidR="00D91132" w:rsidRPr="00D91132" w:rsidRDefault="00D91132" w:rsidP="00D91132">
      <w:pPr>
        <w:pStyle w:val="Bullets-tier1"/>
        <w:rPr>
          <w:shd w:val="clear" w:color="auto" w:fill="FFFFFF"/>
        </w:rPr>
      </w:pPr>
      <w:proofErr w:type="spellStart"/>
      <w:r w:rsidRPr="00D91132">
        <w:rPr>
          <w:shd w:val="clear" w:color="auto" w:fill="FFFFFF"/>
        </w:rPr>
        <w:t>Brokasure</w:t>
      </w:r>
      <w:proofErr w:type="spellEnd"/>
      <w:r w:rsidRPr="00D91132">
        <w:rPr>
          <w:shd w:val="clear" w:color="auto" w:fill="FFFFFF"/>
        </w:rPr>
        <w:t xml:space="preserve"> Desktop experience desirable but not essential.</w:t>
      </w:r>
    </w:p>
    <w:p w:rsidR="00084AB0" w:rsidRPr="00D91132" w:rsidRDefault="00D91132" w:rsidP="00D91132">
      <w:pPr>
        <w:pStyle w:val="Bullets-tier1"/>
        <w:rPr>
          <w:shd w:val="clear" w:color="auto" w:fill="FFFFFF"/>
        </w:rPr>
      </w:pPr>
      <w:r w:rsidRPr="00D91132">
        <w:rPr>
          <w:shd w:val="clear" w:color="auto" w:fill="FFFFFF"/>
        </w:rPr>
        <w:t>Experience of multicurrency desirable but not essential.</w:t>
      </w:r>
    </w:p>
    <w:p w:rsidR="00112009" w:rsidRPr="002A58C2" w:rsidRDefault="00112009" w:rsidP="006846D7">
      <w:pPr>
        <w:pStyle w:val="Bullets-tier1"/>
        <w:numPr>
          <w:ilvl w:val="0"/>
          <w:numId w:val="0"/>
        </w:numPr>
        <w:rPr>
          <w:shd w:val="clear" w:color="auto" w:fill="FFFFFF"/>
        </w:rPr>
      </w:pPr>
    </w:p>
    <w:p w:rsidR="00084AB0" w:rsidRPr="002A58C2" w:rsidRDefault="00084AB0" w:rsidP="006846D7">
      <w:pPr>
        <w:pStyle w:val="Smallerheading"/>
      </w:pPr>
      <w:r w:rsidRPr="002A58C2">
        <w:t xml:space="preserve">Education &amp; </w:t>
      </w:r>
      <w:r>
        <w:t>q</w:t>
      </w:r>
      <w:r w:rsidRPr="002A58C2">
        <w:t>ualifications</w:t>
      </w:r>
    </w:p>
    <w:p w:rsidR="00084AB0" w:rsidRPr="00D91132" w:rsidRDefault="00D91132" w:rsidP="00D91132">
      <w:pPr>
        <w:pStyle w:val="Bullets-tier1"/>
        <w:rPr>
          <w:shd w:val="clear" w:color="auto" w:fill="FFFFFF"/>
        </w:rPr>
      </w:pPr>
      <w:r w:rsidRPr="00D91132">
        <w:rPr>
          <w:shd w:val="clear" w:color="auto" w:fill="FFFFFF"/>
        </w:rPr>
        <w:t>No specific requirements</w:t>
      </w:r>
    </w:p>
    <w:p w:rsidR="00112009" w:rsidRPr="002A58C2" w:rsidRDefault="00112009" w:rsidP="00112009">
      <w:pPr>
        <w:pStyle w:val="Bullets-tier1"/>
        <w:numPr>
          <w:ilvl w:val="0"/>
          <w:numId w:val="0"/>
        </w:numPr>
        <w:ind w:left="284"/>
        <w:rPr>
          <w:shd w:val="clear" w:color="auto" w:fill="FFFFFF"/>
        </w:rPr>
      </w:pPr>
    </w:p>
    <w:p w:rsidR="00084AB0" w:rsidRPr="00084AB0" w:rsidRDefault="00084AB0" w:rsidP="006846D7">
      <w:pPr>
        <w:pStyle w:val="Smallerheading"/>
      </w:pPr>
      <w:r w:rsidRPr="00084AB0">
        <w:t>Our Core Values</w:t>
      </w:r>
    </w:p>
    <w:p w:rsidR="00084AB0" w:rsidRPr="000D047D" w:rsidRDefault="00084AB0" w:rsidP="00084AB0">
      <w:pPr>
        <w:pStyle w:val="Subheading"/>
        <w:rPr>
          <w:rFonts w:ascii="Montserrat" w:hAnsi="Montserrat"/>
          <w:color w:val="262626" w:themeColor="text1" w:themeTint="D9"/>
        </w:rPr>
      </w:pPr>
    </w:p>
    <w:p w:rsidR="00084AB0" w:rsidRDefault="00F230A2" w:rsidP="00084AB0">
      <w:pPr>
        <w:pStyle w:val="Subheading"/>
        <w:rPr>
          <w:shd w:val="clear" w:color="auto" w:fill="FFFFFF"/>
        </w:rPr>
      </w:pPr>
      <w:r>
        <w:rPr>
          <w:noProof/>
          <w:lang w:eastAsia="en-GB"/>
        </w:rPr>
        <w:drawing>
          <wp:inline distT="0" distB="0" distL="0" distR="0" wp14:anchorId="3B2C82F4" wp14:editId="090253AF">
            <wp:extent cx="5731510" cy="14528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452880"/>
                    </a:xfrm>
                    <a:prstGeom prst="rect">
                      <a:avLst/>
                    </a:prstGeom>
                  </pic:spPr>
                </pic:pic>
              </a:graphicData>
            </a:graphic>
          </wp:inline>
        </w:drawing>
      </w:r>
    </w:p>
    <w:p w:rsidR="00112009" w:rsidRDefault="00112009" w:rsidP="00084AB0">
      <w:pPr>
        <w:pStyle w:val="Subheading"/>
        <w:rPr>
          <w:shd w:val="clear" w:color="auto" w:fill="FFFFFF"/>
        </w:rPr>
      </w:pPr>
    </w:p>
    <w:p w:rsidR="00112009" w:rsidRPr="002A58C2" w:rsidRDefault="00112009" w:rsidP="00112009">
      <w:pPr>
        <w:rPr>
          <w:lang w:eastAsia="en-GB"/>
        </w:rPr>
      </w:pPr>
      <w:r w:rsidRPr="002A58C2">
        <w:rPr>
          <w:lang w:eastAsia="en-GB"/>
        </w:rPr>
        <w:t xml:space="preserve">The information contained within this job description is not intended to be an all-inclusive list of the duties and responsibilities of the role. The role holder may be required to perform other related duties as assigned. CFC Underwriting Limited may at its discretion, assign or reassign duties and responsibilities as appropriate. </w:t>
      </w:r>
    </w:p>
    <w:p w:rsidR="00112009" w:rsidRPr="00084AB0" w:rsidRDefault="00112009" w:rsidP="00084AB0">
      <w:pPr>
        <w:pStyle w:val="Subheading"/>
        <w:rPr>
          <w:shd w:val="clear" w:color="auto" w:fill="FFFFFF"/>
        </w:rPr>
      </w:pPr>
    </w:p>
    <w:sectPr w:rsidR="00112009" w:rsidRPr="00084AB0" w:rsidSect="00341B33">
      <w:headerReference w:type="default" r:id="rId8"/>
      <w:headerReference w:type="first" r:id="rId9"/>
      <w:pgSz w:w="11906" w:h="16838"/>
      <w:pgMar w:top="3092" w:right="1440" w:bottom="1276" w:left="1440" w:header="73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7F" w:rsidRDefault="00317A7F" w:rsidP="001D6581">
      <w:r>
        <w:separator/>
      </w:r>
    </w:p>
  </w:endnote>
  <w:endnote w:type="continuationSeparator" w:id="0">
    <w:p w:rsidR="00317A7F" w:rsidRDefault="00317A7F" w:rsidP="001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FuturaBT-Bold">
    <w:altName w:val="Segoe UI Semi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pitch w:val="default"/>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7F" w:rsidRDefault="00317A7F" w:rsidP="001D6581">
      <w:r>
        <w:separator/>
      </w:r>
    </w:p>
  </w:footnote>
  <w:footnote w:type="continuationSeparator" w:id="0">
    <w:p w:rsidR="00317A7F" w:rsidRDefault="00317A7F" w:rsidP="001D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33" w:rsidRDefault="00341B33" w:rsidP="00341B33">
    <w:pPr>
      <w:pStyle w:val="Subheading"/>
      <w:jc w:val="right"/>
    </w:pPr>
  </w:p>
  <w:p w:rsidR="00341B33" w:rsidRDefault="00341B33" w:rsidP="00341B33">
    <w:pPr>
      <w:pStyle w:val="Subheading"/>
      <w:jc w:val="right"/>
    </w:pPr>
    <w:r w:rsidRPr="009C147A">
      <w:rPr>
        <w:noProof/>
        <w:lang w:eastAsia="en-GB"/>
      </w:rPr>
      <w:drawing>
        <wp:anchor distT="0" distB="0" distL="114300" distR="114300" simplePos="0" relativeHeight="251662336" behindDoc="0" locked="0" layoutInCell="1" allowOverlap="1" wp14:anchorId="39F5F3D0" wp14:editId="75164DF0">
          <wp:simplePos x="0" y="0"/>
          <wp:positionH relativeFrom="column">
            <wp:posOffset>-171450</wp:posOffset>
          </wp:positionH>
          <wp:positionV relativeFrom="paragraph">
            <wp:posOffset>45085</wp:posOffset>
          </wp:positionV>
          <wp:extent cx="1106805" cy="4279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_logo_nU.jpg"/>
                  <pic:cNvPicPr/>
                </pic:nvPicPr>
                <pic:blipFill>
                  <a:blip r:embed="rId1">
                    <a:extLst>
                      <a:ext uri="{28A0092B-C50C-407E-A947-70E740481C1C}">
                        <a14:useLocalDpi xmlns:a14="http://schemas.microsoft.com/office/drawing/2010/main" val="0"/>
                      </a:ext>
                    </a:extLst>
                  </a:blip>
                  <a:stretch>
                    <a:fillRect/>
                  </a:stretch>
                </pic:blipFill>
                <pic:spPr>
                  <a:xfrm>
                    <a:off x="0" y="0"/>
                    <a:ext cx="1106805" cy="427990"/>
                  </a:xfrm>
                  <a:prstGeom prst="rect">
                    <a:avLst/>
                  </a:prstGeom>
                </pic:spPr>
              </pic:pic>
            </a:graphicData>
          </a:graphic>
          <wp14:sizeRelH relativeFrom="margin">
            <wp14:pctWidth>0</wp14:pctWidth>
          </wp14:sizeRelH>
          <wp14:sizeRelV relativeFrom="margin">
            <wp14:pctHeight>0</wp14:pctHeight>
          </wp14:sizeRelV>
        </wp:anchor>
      </w:drawing>
    </w:r>
  </w:p>
  <w:p w:rsidR="00341B33" w:rsidRDefault="00341B33" w:rsidP="00341B33">
    <w:pPr>
      <w:pStyle w:val="Subheading"/>
      <w:jc w:val="right"/>
    </w:pPr>
  </w:p>
  <w:p w:rsidR="00341B33" w:rsidRPr="00C274B5" w:rsidRDefault="00341B33" w:rsidP="00341B33">
    <w:pPr>
      <w:pStyle w:val="Subheading"/>
      <w:jc w:val="right"/>
    </w:pPr>
    <w:r>
      <w:t>CFC Underwriting Limited</w:t>
    </w:r>
  </w:p>
  <w:p w:rsidR="00341B33" w:rsidRDefault="00341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DA" w:rsidRDefault="00423FDA" w:rsidP="001D6581">
    <w:pPr>
      <w:pStyle w:val="Subheading"/>
      <w:jc w:val="right"/>
    </w:pPr>
  </w:p>
  <w:p w:rsidR="00423FDA" w:rsidRDefault="00C274B5" w:rsidP="001D6581">
    <w:pPr>
      <w:pStyle w:val="Subheading"/>
      <w:jc w:val="right"/>
    </w:pPr>
    <w:r w:rsidRPr="009C147A">
      <w:rPr>
        <w:noProof/>
        <w:lang w:eastAsia="en-GB"/>
      </w:rPr>
      <w:drawing>
        <wp:anchor distT="0" distB="0" distL="114300" distR="114300" simplePos="0" relativeHeight="251660288" behindDoc="0" locked="0" layoutInCell="1" allowOverlap="1" wp14:anchorId="7121C575" wp14:editId="37A1192F">
          <wp:simplePos x="0" y="0"/>
          <wp:positionH relativeFrom="column">
            <wp:posOffset>-49530</wp:posOffset>
          </wp:positionH>
          <wp:positionV relativeFrom="paragraph">
            <wp:posOffset>95787</wp:posOffset>
          </wp:positionV>
          <wp:extent cx="1107281" cy="428439"/>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_logo_nU.jpg"/>
                  <pic:cNvPicPr/>
                </pic:nvPicPr>
                <pic:blipFill>
                  <a:blip r:embed="rId1">
                    <a:extLst>
                      <a:ext uri="{28A0092B-C50C-407E-A947-70E740481C1C}">
                        <a14:useLocalDpi xmlns:a14="http://schemas.microsoft.com/office/drawing/2010/main" val="0"/>
                      </a:ext>
                    </a:extLst>
                  </a:blip>
                  <a:stretch>
                    <a:fillRect/>
                  </a:stretch>
                </pic:blipFill>
                <pic:spPr>
                  <a:xfrm>
                    <a:off x="0" y="0"/>
                    <a:ext cx="1107281" cy="428439"/>
                  </a:xfrm>
                  <a:prstGeom prst="rect">
                    <a:avLst/>
                  </a:prstGeom>
                </pic:spPr>
              </pic:pic>
            </a:graphicData>
          </a:graphic>
          <wp14:sizeRelH relativeFrom="margin">
            <wp14:pctWidth>0</wp14:pctWidth>
          </wp14:sizeRelH>
          <wp14:sizeRelV relativeFrom="margin">
            <wp14:pctHeight>0</wp14:pctHeight>
          </wp14:sizeRelV>
        </wp:anchor>
      </w:drawing>
    </w:r>
  </w:p>
  <w:p w:rsidR="00423FDA" w:rsidRDefault="00423FDA" w:rsidP="001D6581">
    <w:pPr>
      <w:pStyle w:val="Subheading"/>
      <w:jc w:val="right"/>
    </w:pPr>
  </w:p>
  <w:p w:rsidR="00423FDA" w:rsidRPr="00C274B5" w:rsidRDefault="00D02888" w:rsidP="001D6581">
    <w:pPr>
      <w:pStyle w:val="Subheading"/>
      <w:jc w:val="right"/>
    </w:pPr>
    <w:r>
      <w:t>CFC Underwriting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9CFC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AC96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046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723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E2E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042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AE1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AEC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2ACC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A60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2D47"/>
    <w:multiLevelType w:val="multilevel"/>
    <w:tmpl w:val="BF3E5DAE"/>
    <w:styleLink w:val="Style1"/>
    <w:lvl w:ilvl="0">
      <w:start w:val="1"/>
      <w:numFmt w:val="bullet"/>
      <w:lvlText w:val=""/>
      <w:lvlJc w:val="left"/>
      <w:pPr>
        <w:ind w:left="284" w:hanging="284"/>
      </w:pPr>
      <w:rPr>
        <w:rFonts w:ascii="Symbol" w:hAnsi="Symbol" w:hint="default"/>
        <w:b/>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E42673"/>
    <w:multiLevelType w:val="hybridMultilevel"/>
    <w:tmpl w:val="0542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E55491"/>
    <w:multiLevelType w:val="multilevel"/>
    <w:tmpl w:val="393644C4"/>
    <w:styleLink w:val="Style3"/>
    <w:lvl w:ilvl="0">
      <w:start w:val="1"/>
      <w:numFmt w:val="bullet"/>
      <w:lvlText w:val=""/>
      <w:lvlJc w:val="left"/>
      <w:pPr>
        <w:ind w:left="644" w:hanging="360"/>
      </w:pPr>
      <w:rPr>
        <w:rFonts w:ascii="Symbol" w:hAnsi="Symbol" w:hint="default"/>
        <w:b/>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BB4D86"/>
    <w:multiLevelType w:val="multilevel"/>
    <w:tmpl w:val="DE24C52E"/>
    <w:styleLink w:val="Subsubbulletsfinal"/>
    <w:lvl w:ilvl="0">
      <w:start w:val="1"/>
      <w:numFmt w:val="bullet"/>
      <w:lvlText w:val=""/>
      <w:lvlJc w:val="left"/>
      <w:pPr>
        <w:ind w:left="644" w:hanging="360"/>
      </w:pPr>
      <w:rPr>
        <w:rFonts w:ascii="Symbol" w:hAnsi="Symbol" w:hint="default"/>
        <w:b/>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511647"/>
    <w:multiLevelType w:val="hybridMultilevel"/>
    <w:tmpl w:val="B90EF610"/>
    <w:lvl w:ilvl="0" w:tplc="DA2081E2">
      <w:start w:val="1"/>
      <w:numFmt w:val="bullet"/>
      <w:lvlText w:val=""/>
      <w:lvlJc w:val="left"/>
      <w:pPr>
        <w:ind w:left="720" w:hanging="720"/>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0416B"/>
    <w:multiLevelType w:val="hybridMultilevel"/>
    <w:tmpl w:val="A9825DAE"/>
    <w:lvl w:ilvl="0" w:tplc="5A0CEB80">
      <w:start w:val="1"/>
      <w:numFmt w:val="bullet"/>
      <w:lvlText w:val=""/>
      <w:lvlJc w:val="left"/>
      <w:pPr>
        <w:ind w:left="284" w:hanging="284"/>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80522"/>
    <w:multiLevelType w:val="multilevel"/>
    <w:tmpl w:val="6EE49806"/>
    <w:styleLink w:val="Subsubbullets"/>
    <w:lvl w:ilvl="0">
      <w:start w:val="1"/>
      <w:numFmt w:val="bullet"/>
      <w:lvlText w:val=""/>
      <w:lvlJc w:val="left"/>
      <w:pPr>
        <w:ind w:left="360" w:hanging="76"/>
      </w:pPr>
      <w:rPr>
        <w:rFonts w:ascii="Symbol" w:hAnsi="Symbol" w:hint="default"/>
        <w:b w:val="0"/>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7573A3"/>
    <w:multiLevelType w:val="hybridMultilevel"/>
    <w:tmpl w:val="18B40FB4"/>
    <w:lvl w:ilvl="0" w:tplc="AD02B638">
      <w:start w:val="1"/>
      <w:numFmt w:val="bullet"/>
      <w:pStyle w:val="Bullets-tier2"/>
      <w:lvlText w:val="o"/>
      <w:lvlJc w:val="left"/>
      <w:pPr>
        <w:ind w:left="360" w:hanging="76"/>
      </w:pPr>
      <w:rPr>
        <w:rFonts w:ascii="Courier New" w:hAnsi="Courier New" w:hint="default"/>
        <w:b w:val="0"/>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D1461"/>
    <w:multiLevelType w:val="hybridMultilevel"/>
    <w:tmpl w:val="46E4F514"/>
    <w:lvl w:ilvl="0" w:tplc="9110BEDA">
      <w:start w:val="1"/>
      <w:numFmt w:val="bullet"/>
      <w:pStyle w:val="Bullets-tier3"/>
      <w:lvlText w:val=""/>
      <w:lvlJc w:val="left"/>
      <w:pPr>
        <w:ind w:left="644" w:hanging="360"/>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D2290"/>
    <w:multiLevelType w:val="hybridMultilevel"/>
    <w:tmpl w:val="2E387038"/>
    <w:lvl w:ilvl="0" w:tplc="04090003">
      <w:start w:val="1"/>
      <w:numFmt w:val="bullet"/>
      <w:lvlText w:val="o"/>
      <w:lvlJc w:val="left"/>
      <w:pPr>
        <w:ind w:left="360" w:hanging="360"/>
      </w:pPr>
      <w:rPr>
        <w:rFonts w:ascii="Courier New" w:hAnsi="Courier New" w:cs="Courier New"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D4352"/>
    <w:multiLevelType w:val="hybridMultilevel"/>
    <w:tmpl w:val="447E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73D64"/>
    <w:multiLevelType w:val="hybridMultilevel"/>
    <w:tmpl w:val="E1505A44"/>
    <w:lvl w:ilvl="0" w:tplc="00447E0E">
      <w:start w:val="1"/>
      <w:numFmt w:val="bullet"/>
      <w:lvlText w:val=""/>
      <w:lvlJc w:val="left"/>
      <w:pPr>
        <w:ind w:left="720" w:hanging="360"/>
      </w:pPr>
      <w:rPr>
        <w:rFonts w:ascii="Symbol" w:hAnsi="Symbol" w:hint="default"/>
        <w:color w:val="149BD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E7AB3"/>
    <w:multiLevelType w:val="hybridMultilevel"/>
    <w:tmpl w:val="250CB5F8"/>
    <w:lvl w:ilvl="0" w:tplc="3EC684EC">
      <w:start w:val="1"/>
      <w:numFmt w:val="bullet"/>
      <w:lvlText w:val="o"/>
      <w:lvlJc w:val="left"/>
      <w:pPr>
        <w:ind w:left="360" w:hanging="76"/>
      </w:pPr>
      <w:rPr>
        <w:rFonts w:ascii="Courier New" w:hAnsi="Courier New"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73240"/>
    <w:multiLevelType w:val="hybridMultilevel"/>
    <w:tmpl w:val="BF3E5DAE"/>
    <w:lvl w:ilvl="0" w:tplc="61D6C5FA">
      <w:start w:val="1"/>
      <w:numFmt w:val="bullet"/>
      <w:pStyle w:val="Bullets-tier1"/>
      <w:lvlText w:val=""/>
      <w:lvlJc w:val="left"/>
      <w:pPr>
        <w:ind w:left="284" w:hanging="284"/>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64AA5"/>
    <w:multiLevelType w:val="hybridMultilevel"/>
    <w:tmpl w:val="E3DE43F0"/>
    <w:lvl w:ilvl="0" w:tplc="5A0CEB80">
      <w:start w:val="1"/>
      <w:numFmt w:val="bullet"/>
      <w:lvlText w:val=""/>
      <w:lvlJc w:val="left"/>
      <w:pPr>
        <w:ind w:left="1004" w:hanging="284"/>
      </w:pPr>
      <w:rPr>
        <w:rFonts w:ascii="Symbol" w:hAnsi="Symbol" w:hint="default"/>
        <w:b/>
        <w:i w:val="0"/>
        <w:color w:val="149BD7"/>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D73667"/>
    <w:multiLevelType w:val="multilevel"/>
    <w:tmpl w:val="18B40FB4"/>
    <w:styleLink w:val="Style2"/>
    <w:lvl w:ilvl="0">
      <w:start w:val="1"/>
      <w:numFmt w:val="bullet"/>
      <w:lvlText w:val="o"/>
      <w:lvlJc w:val="left"/>
      <w:pPr>
        <w:ind w:left="360" w:hanging="76"/>
      </w:pPr>
      <w:rPr>
        <w:rFonts w:ascii="Courier New" w:hAnsi="Courier New" w:hint="default"/>
        <w:b w:val="0"/>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027770"/>
    <w:multiLevelType w:val="hybridMultilevel"/>
    <w:tmpl w:val="9FA4E620"/>
    <w:lvl w:ilvl="0" w:tplc="81784970">
      <w:start w:val="1"/>
      <w:numFmt w:val="bullet"/>
      <w:lvlText w:val=""/>
      <w:lvlJc w:val="left"/>
      <w:pPr>
        <w:ind w:left="720" w:hanging="360"/>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1"/>
  </w:num>
  <w:num w:numId="12">
    <w:abstractNumId w:val="26"/>
  </w:num>
  <w:num w:numId="13">
    <w:abstractNumId w:val="14"/>
  </w:num>
  <w:num w:numId="14">
    <w:abstractNumId w:val="15"/>
  </w:num>
  <w:num w:numId="15">
    <w:abstractNumId w:val="24"/>
  </w:num>
  <w:num w:numId="16">
    <w:abstractNumId w:val="23"/>
  </w:num>
  <w:num w:numId="17">
    <w:abstractNumId w:val="19"/>
  </w:num>
  <w:num w:numId="18">
    <w:abstractNumId w:val="22"/>
  </w:num>
  <w:num w:numId="19">
    <w:abstractNumId w:val="17"/>
  </w:num>
  <w:num w:numId="20">
    <w:abstractNumId w:val="16"/>
  </w:num>
  <w:num w:numId="21">
    <w:abstractNumId w:val="10"/>
  </w:num>
  <w:num w:numId="22">
    <w:abstractNumId w:val="25"/>
  </w:num>
  <w:num w:numId="23">
    <w:abstractNumId w:val="18"/>
  </w:num>
  <w:num w:numId="24">
    <w:abstractNumId w:val="13"/>
  </w:num>
  <w:num w:numId="25">
    <w:abstractNumId w:val="12"/>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FB"/>
    <w:rsid w:val="00006E3C"/>
    <w:rsid w:val="00021E28"/>
    <w:rsid w:val="00065743"/>
    <w:rsid w:val="00084AB0"/>
    <w:rsid w:val="000C31A5"/>
    <w:rsid w:val="00112009"/>
    <w:rsid w:val="00124F0D"/>
    <w:rsid w:val="001357DB"/>
    <w:rsid w:val="001C6A05"/>
    <w:rsid w:val="001D6581"/>
    <w:rsid w:val="00270099"/>
    <w:rsid w:val="002E7430"/>
    <w:rsid w:val="003120F3"/>
    <w:rsid w:val="00317A7F"/>
    <w:rsid w:val="00341B33"/>
    <w:rsid w:val="00365A9C"/>
    <w:rsid w:val="003B3F31"/>
    <w:rsid w:val="003F06E1"/>
    <w:rsid w:val="00423FDA"/>
    <w:rsid w:val="00466CEB"/>
    <w:rsid w:val="005508FD"/>
    <w:rsid w:val="00580CB1"/>
    <w:rsid w:val="005A6310"/>
    <w:rsid w:val="006846D7"/>
    <w:rsid w:val="00817C91"/>
    <w:rsid w:val="008273BC"/>
    <w:rsid w:val="008475F4"/>
    <w:rsid w:val="00874D4A"/>
    <w:rsid w:val="00890595"/>
    <w:rsid w:val="008B132F"/>
    <w:rsid w:val="0093369A"/>
    <w:rsid w:val="00981014"/>
    <w:rsid w:val="009C147A"/>
    <w:rsid w:val="00A57EFF"/>
    <w:rsid w:val="00B21122"/>
    <w:rsid w:val="00B313C3"/>
    <w:rsid w:val="00C11DFB"/>
    <w:rsid w:val="00C274B5"/>
    <w:rsid w:val="00C45013"/>
    <w:rsid w:val="00C662F4"/>
    <w:rsid w:val="00CA09F1"/>
    <w:rsid w:val="00D02888"/>
    <w:rsid w:val="00D91132"/>
    <w:rsid w:val="00E023C0"/>
    <w:rsid w:val="00EE0AE1"/>
    <w:rsid w:val="00EF2663"/>
    <w:rsid w:val="00F230A2"/>
    <w:rsid w:val="00F246E4"/>
    <w:rsid w:val="00F6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A77C1"/>
  <w15:docId w15:val="{35F9EFA9-CF25-4075-99DB-C8E1EEA4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E7430"/>
    <w:pPr>
      <w:autoSpaceDE w:val="0"/>
      <w:autoSpaceDN w:val="0"/>
      <w:adjustRightInd w:val="0"/>
      <w:spacing w:after="0"/>
    </w:pPr>
    <w:rPr>
      <w:rFonts w:ascii="Montserrat Light" w:hAnsi="Montserrat Light" w:cs="FuturaBT-Bold"/>
      <w:bCs/>
      <w:color w:val="57575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D658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7430"/>
    <w:rPr>
      <w:rFonts w:ascii="Montserrat Light" w:hAnsi="Montserrat Light" w:cs="FuturaBT-Bold"/>
      <w:bCs/>
      <w:color w:val="575756"/>
      <w:sz w:val="18"/>
      <w:szCs w:val="18"/>
    </w:rPr>
  </w:style>
  <w:style w:type="paragraph" w:styleId="Footer">
    <w:name w:val="footer"/>
    <w:basedOn w:val="Normal"/>
    <w:link w:val="FooterChar"/>
    <w:uiPriority w:val="99"/>
    <w:semiHidden/>
    <w:rsid w:val="00B313C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E7430"/>
    <w:rPr>
      <w:rFonts w:ascii="Montserrat Light" w:hAnsi="Montserrat Light" w:cs="FuturaBT-Bold"/>
      <w:bCs/>
      <w:color w:val="575756"/>
      <w:sz w:val="18"/>
      <w:szCs w:val="18"/>
    </w:rPr>
  </w:style>
  <w:style w:type="paragraph" w:styleId="BalloonText">
    <w:name w:val="Balloon Text"/>
    <w:basedOn w:val="Normal"/>
    <w:link w:val="BalloonTextChar"/>
    <w:uiPriority w:val="99"/>
    <w:semiHidden/>
    <w:unhideWhenUsed/>
    <w:rsid w:val="00B313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C3"/>
    <w:rPr>
      <w:rFonts w:ascii="Tahoma" w:hAnsi="Tahoma" w:cs="Tahoma"/>
      <w:sz w:val="16"/>
      <w:szCs w:val="16"/>
    </w:rPr>
  </w:style>
  <w:style w:type="character" w:styleId="Hyperlink">
    <w:name w:val="Hyperlink"/>
    <w:basedOn w:val="DefaultParagraphFont"/>
    <w:uiPriority w:val="99"/>
    <w:semiHidden/>
    <w:rsid w:val="009C147A"/>
    <w:rPr>
      <w:color w:val="0000FF" w:themeColor="hyperlink"/>
      <w:u w:val="single"/>
    </w:rPr>
  </w:style>
  <w:style w:type="paragraph" w:customStyle="1" w:styleId="BasicParagraph">
    <w:name w:val="[Basic Paragraph]"/>
    <w:basedOn w:val="Normal"/>
    <w:uiPriority w:val="99"/>
    <w:semiHidden/>
    <w:rsid w:val="00F611F4"/>
    <w:pPr>
      <w:spacing w:line="288" w:lineRule="auto"/>
      <w:textAlignment w:val="center"/>
    </w:pPr>
    <w:rPr>
      <w:rFonts w:ascii="MinionPro-Regular" w:hAnsi="MinionPro-Regular" w:cs="MinionPro-Regular"/>
      <w:bCs w:val="0"/>
      <w:color w:val="000000"/>
      <w:sz w:val="24"/>
      <w:szCs w:val="24"/>
    </w:rPr>
  </w:style>
  <w:style w:type="paragraph" w:customStyle="1" w:styleId="Subheading">
    <w:name w:val="Subheading"/>
    <w:qFormat/>
    <w:rsid w:val="001D6581"/>
    <w:pPr>
      <w:autoSpaceDE w:val="0"/>
      <w:autoSpaceDN w:val="0"/>
      <w:adjustRightInd w:val="0"/>
      <w:spacing w:after="0"/>
    </w:pPr>
    <w:rPr>
      <w:rFonts w:ascii="Montserrat Medium" w:hAnsi="Montserrat Medium" w:cs="FuturaBT-Bold"/>
      <w:bCs/>
      <w:color w:val="149BD7"/>
      <w:sz w:val="18"/>
      <w:szCs w:val="18"/>
    </w:rPr>
  </w:style>
  <w:style w:type="paragraph" w:customStyle="1" w:styleId="Mainheading">
    <w:name w:val="Main heading"/>
    <w:qFormat/>
    <w:rsid w:val="001D6581"/>
    <w:pPr>
      <w:autoSpaceDE w:val="0"/>
      <w:autoSpaceDN w:val="0"/>
      <w:adjustRightInd w:val="0"/>
      <w:spacing w:after="0"/>
    </w:pPr>
    <w:rPr>
      <w:rFonts w:ascii="Montserrat Light" w:hAnsi="Montserrat Light" w:cs="FuturaBT-Bold"/>
      <w:bCs/>
      <w:color w:val="01416D"/>
      <w:sz w:val="60"/>
      <w:szCs w:val="60"/>
    </w:rPr>
  </w:style>
  <w:style w:type="paragraph" w:customStyle="1" w:styleId="Boldtext">
    <w:name w:val="Bold text"/>
    <w:qFormat/>
    <w:rsid w:val="001D6581"/>
    <w:rPr>
      <w:rFonts w:ascii="Montserrat Medium" w:hAnsi="Montserrat Medium" w:cs="FuturaBT-Bold"/>
      <w:bCs/>
      <w:color w:val="575756"/>
      <w:sz w:val="18"/>
      <w:szCs w:val="18"/>
    </w:rPr>
  </w:style>
  <w:style w:type="paragraph" w:styleId="ListParagraph">
    <w:name w:val="List Paragraph"/>
    <w:basedOn w:val="Normal"/>
    <w:uiPriority w:val="34"/>
    <w:qFormat/>
    <w:rsid w:val="005A6310"/>
    <w:pPr>
      <w:ind w:left="720"/>
      <w:contextualSpacing/>
    </w:pPr>
  </w:style>
  <w:style w:type="paragraph" w:customStyle="1" w:styleId="Bullets-tier1">
    <w:name w:val="Bullets - tier 1"/>
    <w:qFormat/>
    <w:rsid w:val="00890595"/>
    <w:pPr>
      <w:numPr>
        <w:numId w:val="16"/>
      </w:numPr>
      <w:spacing w:before="120" w:after="240"/>
    </w:pPr>
    <w:rPr>
      <w:rFonts w:ascii="Montserrat Light" w:hAnsi="Montserrat Light" w:cs="FuturaBT-Bold"/>
      <w:bCs/>
      <w:color w:val="575756"/>
      <w:sz w:val="18"/>
      <w:szCs w:val="18"/>
    </w:rPr>
  </w:style>
  <w:style w:type="paragraph" w:customStyle="1" w:styleId="Bullets-tier2">
    <w:name w:val="Bullets - tier 2"/>
    <w:basedOn w:val="Bullets-tier1"/>
    <w:qFormat/>
    <w:rsid w:val="00890595"/>
    <w:pPr>
      <w:numPr>
        <w:numId w:val="19"/>
      </w:numPr>
      <w:ind w:left="567" w:hanging="283"/>
    </w:pPr>
  </w:style>
  <w:style w:type="numbering" w:customStyle="1" w:styleId="Subsubbullets">
    <w:name w:val="Sub sub bullets"/>
    <w:basedOn w:val="NoList"/>
    <w:uiPriority w:val="99"/>
    <w:rsid w:val="00890595"/>
    <w:pPr>
      <w:numPr>
        <w:numId w:val="20"/>
      </w:numPr>
    </w:pPr>
  </w:style>
  <w:style w:type="numbering" w:customStyle="1" w:styleId="Style1">
    <w:name w:val="Style1"/>
    <w:basedOn w:val="NoList"/>
    <w:uiPriority w:val="99"/>
    <w:rsid w:val="00890595"/>
    <w:pPr>
      <w:numPr>
        <w:numId w:val="21"/>
      </w:numPr>
    </w:pPr>
  </w:style>
  <w:style w:type="numbering" w:customStyle="1" w:styleId="Style2">
    <w:name w:val="Style2"/>
    <w:basedOn w:val="NoList"/>
    <w:uiPriority w:val="99"/>
    <w:rsid w:val="003F06E1"/>
    <w:pPr>
      <w:numPr>
        <w:numId w:val="22"/>
      </w:numPr>
    </w:pPr>
  </w:style>
  <w:style w:type="numbering" w:customStyle="1" w:styleId="Subsubbulletsfinal">
    <w:name w:val="Sub sub bullets final"/>
    <w:basedOn w:val="NoList"/>
    <w:uiPriority w:val="99"/>
    <w:rsid w:val="003F06E1"/>
    <w:pPr>
      <w:numPr>
        <w:numId w:val="24"/>
      </w:numPr>
    </w:pPr>
  </w:style>
  <w:style w:type="numbering" w:customStyle="1" w:styleId="Style3">
    <w:name w:val="Style3"/>
    <w:basedOn w:val="NoList"/>
    <w:uiPriority w:val="99"/>
    <w:rsid w:val="003F06E1"/>
    <w:pPr>
      <w:numPr>
        <w:numId w:val="25"/>
      </w:numPr>
    </w:pPr>
  </w:style>
  <w:style w:type="paragraph" w:customStyle="1" w:styleId="Bullets-tier3">
    <w:name w:val="Bullets - tier 3"/>
    <w:basedOn w:val="Bullets-tier2"/>
    <w:qFormat/>
    <w:rsid w:val="003F06E1"/>
    <w:pPr>
      <w:numPr>
        <w:numId w:val="23"/>
      </w:numPr>
      <w:spacing w:after="120" w:line="240" w:lineRule="auto"/>
      <w:ind w:left="992" w:hanging="357"/>
    </w:pPr>
  </w:style>
  <w:style w:type="paragraph" w:customStyle="1" w:styleId="Introparagraph">
    <w:name w:val="Intro paragraph"/>
    <w:basedOn w:val="Normal"/>
    <w:qFormat/>
    <w:rsid w:val="00F246E4"/>
    <w:pPr>
      <w:ind w:left="284"/>
    </w:pPr>
    <w:rPr>
      <w:noProof/>
    </w:rPr>
  </w:style>
  <w:style w:type="table" w:styleId="TableGrid">
    <w:name w:val="Table Grid"/>
    <w:basedOn w:val="TableNormal"/>
    <w:uiPriority w:val="59"/>
    <w:rsid w:val="00D0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heading">
    <w:name w:val="Smaller heading"/>
    <w:basedOn w:val="Mainheading"/>
    <w:qFormat/>
    <w:rsid w:val="00270099"/>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4452">
      <w:bodyDiv w:val="1"/>
      <w:marLeft w:val="0"/>
      <w:marRight w:val="0"/>
      <w:marTop w:val="0"/>
      <w:marBottom w:val="0"/>
      <w:divBdr>
        <w:top w:val="none" w:sz="0" w:space="0" w:color="auto"/>
        <w:left w:val="none" w:sz="0" w:space="0" w:color="auto"/>
        <w:bottom w:val="none" w:sz="0" w:space="0" w:color="auto"/>
        <w:right w:val="none" w:sz="0" w:space="0" w:color="auto"/>
      </w:divBdr>
    </w:div>
    <w:div w:id="498083922">
      <w:bodyDiv w:val="1"/>
      <w:marLeft w:val="0"/>
      <w:marRight w:val="0"/>
      <w:marTop w:val="0"/>
      <w:marBottom w:val="0"/>
      <w:divBdr>
        <w:top w:val="none" w:sz="0" w:space="0" w:color="auto"/>
        <w:left w:val="none" w:sz="0" w:space="0" w:color="auto"/>
        <w:bottom w:val="none" w:sz="0" w:space="0" w:color="auto"/>
        <w:right w:val="none" w:sz="0" w:space="0" w:color="auto"/>
      </w:divBdr>
    </w:div>
    <w:div w:id="773330898">
      <w:bodyDiv w:val="1"/>
      <w:marLeft w:val="0"/>
      <w:marRight w:val="0"/>
      <w:marTop w:val="0"/>
      <w:marBottom w:val="0"/>
      <w:divBdr>
        <w:top w:val="none" w:sz="0" w:space="0" w:color="auto"/>
        <w:left w:val="none" w:sz="0" w:space="0" w:color="auto"/>
        <w:bottom w:val="none" w:sz="0" w:space="0" w:color="auto"/>
        <w:right w:val="none" w:sz="0" w:space="0" w:color="auto"/>
      </w:divBdr>
    </w:div>
    <w:div w:id="799687820">
      <w:bodyDiv w:val="1"/>
      <w:marLeft w:val="0"/>
      <w:marRight w:val="0"/>
      <w:marTop w:val="0"/>
      <w:marBottom w:val="0"/>
      <w:divBdr>
        <w:top w:val="none" w:sz="0" w:space="0" w:color="auto"/>
        <w:left w:val="none" w:sz="0" w:space="0" w:color="auto"/>
        <w:bottom w:val="none" w:sz="0" w:space="0" w:color="auto"/>
        <w:right w:val="none" w:sz="0" w:space="0" w:color="auto"/>
      </w:divBdr>
    </w:div>
    <w:div w:id="945118842">
      <w:bodyDiv w:val="1"/>
      <w:marLeft w:val="0"/>
      <w:marRight w:val="0"/>
      <w:marTop w:val="0"/>
      <w:marBottom w:val="0"/>
      <w:divBdr>
        <w:top w:val="none" w:sz="0" w:space="0" w:color="auto"/>
        <w:left w:val="none" w:sz="0" w:space="0" w:color="auto"/>
        <w:bottom w:val="none" w:sz="0" w:space="0" w:color="auto"/>
        <w:right w:val="none" w:sz="0" w:space="0" w:color="auto"/>
      </w:divBdr>
    </w:div>
    <w:div w:id="1212814256">
      <w:bodyDiv w:val="1"/>
      <w:marLeft w:val="0"/>
      <w:marRight w:val="0"/>
      <w:marTop w:val="0"/>
      <w:marBottom w:val="0"/>
      <w:divBdr>
        <w:top w:val="none" w:sz="0" w:space="0" w:color="auto"/>
        <w:left w:val="none" w:sz="0" w:space="0" w:color="auto"/>
        <w:bottom w:val="none" w:sz="0" w:space="0" w:color="auto"/>
        <w:right w:val="none" w:sz="0" w:space="0" w:color="auto"/>
      </w:divBdr>
    </w:div>
    <w:div w:id="1320500631">
      <w:bodyDiv w:val="1"/>
      <w:marLeft w:val="0"/>
      <w:marRight w:val="0"/>
      <w:marTop w:val="0"/>
      <w:marBottom w:val="0"/>
      <w:divBdr>
        <w:top w:val="none" w:sz="0" w:space="0" w:color="auto"/>
        <w:left w:val="none" w:sz="0" w:space="0" w:color="auto"/>
        <w:bottom w:val="none" w:sz="0" w:space="0" w:color="auto"/>
        <w:right w:val="none" w:sz="0" w:space="0" w:color="auto"/>
      </w:divBdr>
    </w:div>
    <w:div w:id="1426806175">
      <w:bodyDiv w:val="1"/>
      <w:marLeft w:val="0"/>
      <w:marRight w:val="0"/>
      <w:marTop w:val="0"/>
      <w:marBottom w:val="0"/>
      <w:divBdr>
        <w:top w:val="none" w:sz="0" w:space="0" w:color="auto"/>
        <w:left w:val="none" w:sz="0" w:space="0" w:color="auto"/>
        <w:bottom w:val="none" w:sz="0" w:space="0" w:color="auto"/>
        <w:right w:val="none" w:sz="0" w:space="0" w:color="auto"/>
      </w:divBdr>
    </w:div>
    <w:div w:id="1539590091">
      <w:bodyDiv w:val="1"/>
      <w:marLeft w:val="0"/>
      <w:marRight w:val="0"/>
      <w:marTop w:val="0"/>
      <w:marBottom w:val="0"/>
      <w:divBdr>
        <w:top w:val="none" w:sz="0" w:space="0" w:color="auto"/>
        <w:left w:val="none" w:sz="0" w:space="0" w:color="auto"/>
        <w:bottom w:val="none" w:sz="0" w:space="0" w:color="auto"/>
        <w:right w:val="none" w:sz="0" w:space="0" w:color="auto"/>
      </w:divBdr>
    </w:div>
    <w:div w:id="1770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TheCloudService</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Baker</dc:creator>
  <cp:lastModifiedBy>Sophia Eleftheriou</cp:lastModifiedBy>
  <cp:revision>2</cp:revision>
  <cp:lastPrinted>2017-04-05T08:13:00Z</cp:lastPrinted>
  <dcterms:created xsi:type="dcterms:W3CDTF">2018-11-09T10:11:00Z</dcterms:created>
  <dcterms:modified xsi:type="dcterms:W3CDTF">2018-11-09T10:11:00Z</dcterms:modified>
</cp:coreProperties>
</file>